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87" w:rsidRDefault="006723CE">
      <w:r>
        <w:rPr>
          <w:noProof/>
        </w:rPr>
        <w:drawing>
          <wp:anchor distT="0" distB="0" distL="114300" distR="114300" simplePos="0" relativeHeight="251658240" behindDoc="1" locked="0" layoutInCell="1" allowOverlap="1" wp14:anchorId="58E69E6A" wp14:editId="225820B3">
            <wp:simplePos x="0" y="0"/>
            <wp:positionH relativeFrom="column">
              <wp:posOffset>-1143000</wp:posOffset>
            </wp:positionH>
            <wp:positionV relativeFrom="paragraph">
              <wp:posOffset>-914401</wp:posOffset>
            </wp:positionV>
            <wp:extent cx="7543800" cy="10672959"/>
            <wp:effectExtent l="0" t="0" r="0" b="0"/>
            <wp:wrapNone/>
            <wp:docPr id="3" name="Picture 3" descr="Macintosh HD:Users:chino:Documents:NSA Letterhead:NS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ino:Documents:NSA Letterhead:NSA-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6729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687" w:rsidRDefault="00FB2687"/>
    <w:p w:rsidR="00FB2687" w:rsidRDefault="00FB2687"/>
    <w:p w:rsidR="00FB2687" w:rsidRDefault="00FB2687"/>
    <w:p w:rsidR="00FB2687" w:rsidRDefault="00FB2687"/>
    <w:p w:rsidR="00FB2687" w:rsidRDefault="00FB2687"/>
    <w:p w:rsidR="00FB2687" w:rsidRPr="001E1CAE" w:rsidRDefault="00E023E6" w:rsidP="001E1CAE">
      <w:pPr>
        <w:ind w:left="2160" w:firstLine="720"/>
        <w:rPr>
          <w:rFonts w:asciiTheme="majorHAnsi" w:hAnsiTheme="majorHAnsi" w:cs="Calibri"/>
          <w:sz w:val="32"/>
        </w:rPr>
      </w:pPr>
      <w:r>
        <w:rPr>
          <w:rFonts w:asciiTheme="majorHAnsi" w:hAnsiTheme="majorHAnsi"/>
          <w:b/>
          <w:sz w:val="36"/>
          <w:szCs w:val="28"/>
        </w:rPr>
        <w:t>PRESS STATEMENT</w:t>
      </w:r>
    </w:p>
    <w:p w:rsidR="002D0AC4" w:rsidRDefault="002D0AC4" w:rsidP="002D0AC4">
      <w:pPr>
        <w:rPr>
          <w:rFonts w:asciiTheme="majorHAnsi" w:hAnsiTheme="majorHAnsi" w:cs="Calibri"/>
        </w:rPr>
      </w:pPr>
    </w:p>
    <w:p w:rsidR="002D0AC4" w:rsidRPr="00E023E6" w:rsidRDefault="002D0AC4" w:rsidP="00E023E6">
      <w:pPr>
        <w:spacing w:before="240"/>
        <w:rPr>
          <w:rFonts w:asciiTheme="majorHAnsi" w:hAnsiTheme="majorHAnsi" w:cs="Calibri"/>
          <w:b/>
        </w:rPr>
      </w:pPr>
      <w:r>
        <w:rPr>
          <w:rFonts w:asciiTheme="majorHAnsi" w:hAnsiTheme="majorHAnsi" w:cs="Calibri"/>
        </w:rPr>
        <w:tab/>
      </w:r>
      <w:r>
        <w:rPr>
          <w:rFonts w:asciiTheme="majorHAnsi" w:hAnsiTheme="majorHAnsi" w:cs="Calibri"/>
        </w:rPr>
        <w:tab/>
      </w:r>
      <w:r w:rsidR="00E023E6">
        <w:rPr>
          <w:rFonts w:asciiTheme="majorHAnsi" w:hAnsiTheme="majorHAnsi" w:cs="Calibri"/>
        </w:rPr>
        <w:tab/>
      </w:r>
      <w:r w:rsidR="00E023E6">
        <w:rPr>
          <w:rFonts w:asciiTheme="majorHAnsi" w:hAnsiTheme="majorHAnsi" w:cs="Calibri"/>
        </w:rPr>
        <w:tab/>
      </w:r>
      <w:r w:rsidR="00E023E6" w:rsidRPr="00E023E6">
        <w:rPr>
          <w:rFonts w:asciiTheme="majorHAnsi" w:hAnsiTheme="majorHAnsi" w:cs="Calibri"/>
          <w:b/>
        </w:rPr>
        <w:t>MR. SIKONGO HAIHAMBO</w:t>
      </w:r>
    </w:p>
    <w:p w:rsidR="00E023E6" w:rsidRDefault="00E023E6" w:rsidP="00E023E6">
      <w:pPr>
        <w:spacing w:before="240"/>
        <w:rPr>
          <w:rFonts w:asciiTheme="majorHAnsi" w:hAnsiTheme="majorHAnsi" w:cs="Calibri"/>
          <w:b/>
        </w:rPr>
      </w:pPr>
      <w:r w:rsidRPr="00E023E6">
        <w:rPr>
          <w:rFonts w:asciiTheme="majorHAnsi" w:hAnsiTheme="majorHAnsi" w:cs="Calibri"/>
          <w:b/>
        </w:rPr>
        <w:tab/>
      </w:r>
      <w:r w:rsidRPr="00E023E6">
        <w:rPr>
          <w:rFonts w:asciiTheme="majorHAnsi" w:hAnsiTheme="majorHAnsi" w:cs="Calibri"/>
          <w:b/>
        </w:rPr>
        <w:tab/>
        <w:t>ACTING STATISTICIAN GENERAL: NAMIBIA STATISTICS AGENCY</w:t>
      </w:r>
    </w:p>
    <w:p w:rsidR="00E023E6" w:rsidRPr="00E023E6" w:rsidRDefault="00E023E6" w:rsidP="00E023E6">
      <w:pPr>
        <w:spacing w:before="240"/>
        <w:rPr>
          <w:rFonts w:asciiTheme="majorHAnsi" w:hAnsiTheme="majorHAnsi" w:cs="Calibri"/>
          <w:b/>
        </w:rPr>
      </w:pPr>
      <w:r>
        <w:rPr>
          <w:rFonts w:asciiTheme="majorHAnsi" w:hAnsiTheme="majorHAnsi" w:cs="Calibri"/>
          <w:b/>
        </w:rPr>
        <w:tab/>
      </w:r>
      <w:r>
        <w:rPr>
          <w:rFonts w:asciiTheme="majorHAnsi" w:hAnsiTheme="majorHAnsi" w:cs="Calibri"/>
          <w:b/>
        </w:rPr>
        <w:tab/>
      </w:r>
      <w:r>
        <w:rPr>
          <w:rFonts w:asciiTheme="majorHAnsi" w:hAnsiTheme="majorHAnsi" w:cs="Calibri"/>
          <w:b/>
        </w:rPr>
        <w:tab/>
        <w:t>Windhoek – 09 September 2015</w:t>
      </w:r>
    </w:p>
    <w:p w:rsidR="002D0AC4" w:rsidRDefault="002D0AC4" w:rsidP="002D0AC4">
      <w:pPr>
        <w:rPr>
          <w:rFonts w:asciiTheme="majorHAnsi" w:hAnsiTheme="majorHAnsi" w:cs="Calibri"/>
        </w:rPr>
      </w:pPr>
    </w:p>
    <w:p w:rsidR="00E023E6" w:rsidRDefault="002D0AC4" w:rsidP="002D0AC4">
      <w:pPr>
        <w:rPr>
          <w:rFonts w:asciiTheme="majorHAnsi" w:hAnsiTheme="majorHAnsi" w:cs="Calibri"/>
        </w:rPr>
      </w:pPr>
      <w:r>
        <w:rPr>
          <w:rFonts w:asciiTheme="majorHAnsi" w:hAnsiTheme="majorHAnsi" w:cs="Calibri"/>
        </w:rPr>
        <w:tab/>
      </w:r>
      <w:r>
        <w:rPr>
          <w:rFonts w:asciiTheme="majorHAnsi" w:hAnsiTheme="majorHAnsi" w:cs="Calibri"/>
        </w:rPr>
        <w:tab/>
      </w:r>
    </w:p>
    <w:p w:rsidR="00BC2BA0" w:rsidRPr="00BC2BA0" w:rsidRDefault="00E023E6" w:rsidP="006309C1">
      <w:pPr>
        <w:pStyle w:val="ListParagraph"/>
        <w:numPr>
          <w:ilvl w:val="0"/>
          <w:numId w:val="3"/>
        </w:numPr>
        <w:jc w:val="both"/>
        <w:rPr>
          <w:rFonts w:asciiTheme="majorHAnsi" w:hAnsiTheme="majorHAnsi" w:cs="Calibri"/>
          <w:b/>
        </w:rPr>
      </w:pPr>
      <w:r w:rsidRPr="00500D72">
        <w:rPr>
          <w:sz w:val="24"/>
          <w:szCs w:val="24"/>
        </w:rPr>
        <w:t>The Namibia Statistics Agency is pleased to present the economic development</w:t>
      </w:r>
      <w:r>
        <w:rPr>
          <w:sz w:val="24"/>
          <w:szCs w:val="24"/>
        </w:rPr>
        <w:t>s</w:t>
      </w:r>
      <w:r w:rsidRPr="00500D72">
        <w:rPr>
          <w:sz w:val="24"/>
          <w:szCs w:val="24"/>
        </w:rPr>
        <w:t xml:space="preserve"> </w:t>
      </w:r>
      <w:r>
        <w:rPr>
          <w:sz w:val="24"/>
          <w:szCs w:val="24"/>
        </w:rPr>
        <w:t xml:space="preserve">for 2014 following the preliminary results during March 2015. Before I elaborate on the results of 2014, let me first say few words about the revision policy </w:t>
      </w:r>
      <w:r w:rsidR="00790647">
        <w:rPr>
          <w:sz w:val="24"/>
          <w:szCs w:val="24"/>
        </w:rPr>
        <w:t>as per the compilation of the</w:t>
      </w:r>
      <w:r>
        <w:rPr>
          <w:sz w:val="24"/>
          <w:szCs w:val="24"/>
        </w:rPr>
        <w:t xml:space="preserve"> national accounts. </w:t>
      </w:r>
      <w:r w:rsidR="006309C1">
        <w:rPr>
          <w:sz w:val="24"/>
          <w:szCs w:val="24"/>
        </w:rPr>
        <w:t>National accounts revision are informed by updated information received from data source</w:t>
      </w:r>
      <w:r w:rsidR="007A0F91">
        <w:rPr>
          <w:sz w:val="24"/>
          <w:szCs w:val="24"/>
        </w:rPr>
        <w:t>s</w:t>
      </w:r>
      <w:r w:rsidR="00790647">
        <w:rPr>
          <w:sz w:val="24"/>
          <w:szCs w:val="24"/>
        </w:rPr>
        <w:t xml:space="preserve"> after release of a Publication</w:t>
      </w:r>
      <w:r w:rsidR="006309C1">
        <w:rPr>
          <w:sz w:val="24"/>
          <w:szCs w:val="24"/>
        </w:rPr>
        <w:t>.</w:t>
      </w:r>
    </w:p>
    <w:p w:rsidR="00BC2BA0" w:rsidRPr="00BC2BA0" w:rsidRDefault="00BC2BA0" w:rsidP="00BC2BA0">
      <w:pPr>
        <w:pStyle w:val="ListParagraph"/>
        <w:ind w:left="1800"/>
        <w:jc w:val="both"/>
        <w:rPr>
          <w:rFonts w:asciiTheme="majorHAnsi" w:hAnsiTheme="majorHAnsi" w:cs="Calibri"/>
          <w:b/>
        </w:rPr>
      </w:pPr>
    </w:p>
    <w:p w:rsidR="00D80411" w:rsidRPr="00AD0761" w:rsidRDefault="006309C1" w:rsidP="001E5301">
      <w:pPr>
        <w:pStyle w:val="ListParagraph"/>
        <w:numPr>
          <w:ilvl w:val="0"/>
          <w:numId w:val="3"/>
        </w:numPr>
        <w:jc w:val="both"/>
        <w:rPr>
          <w:rFonts w:asciiTheme="majorHAnsi" w:hAnsiTheme="majorHAnsi" w:cs="Calibri"/>
          <w:b/>
        </w:rPr>
      </w:pPr>
      <w:r w:rsidRPr="00790647">
        <w:rPr>
          <w:sz w:val="24"/>
          <w:szCs w:val="24"/>
        </w:rPr>
        <w:t xml:space="preserve"> Under normal circumstance, that </w:t>
      </w:r>
      <w:r w:rsidR="00BC2BA0" w:rsidRPr="00790647">
        <w:rPr>
          <w:sz w:val="24"/>
          <w:szCs w:val="24"/>
        </w:rPr>
        <w:t xml:space="preserve">is </w:t>
      </w:r>
      <w:r w:rsidR="00790647" w:rsidRPr="00790647">
        <w:rPr>
          <w:sz w:val="24"/>
          <w:szCs w:val="24"/>
        </w:rPr>
        <w:t>all things being equal</w:t>
      </w:r>
      <w:r w:rsidRPr="001E5301">
        <w:rPr>
          <w:sz w:val="24"/>
          <w:szCs w:val="24"/>
        </w:rPr>
        <w:t xml:space="preserve">, </w:t>
      </w:r>
      <w:r w:rsidR="00790647" w:rsidRPr="001E5301">
        <w:rPr>
          <w:sz w:val="24"/>
          <w:szCs w:val="24"/>
        </w:rPr>
        <w:t xml:space="preserve">revisions in the </w:t>
      </w:r>
      <w:r w:rsidRPr="001E5301">
        <w:rPr>
          <w:sz w:val="24"/>
          <w:szCs w:val="24"/>
        </w:rPr>
        <w:t xml:space="preserve">national accounts </w:t>
      </w:r>
      <w:r w:rsidR="00790647" w:rsidRPr="001E5301">
        <w:rPr>
          <w:sz w:val="24"/>
          <w:szCs w:val="24"/>
        </w:rPr>
        <w:t>affect</w:t>
      </w:r>
      <w:r w:rsidRPr="001E5301">
        <w:rPr>
          <w:sz w:val="24"/>
          <w:szCs w:val="24"/>
        </w:rPr>
        <w:t xml:space="preserve"> the last three </w:t>
      </w:r>
      <w:r w:rsidR="00BC2BA0" w:rsidRPr="001E5301">
        <w:rPr>
          <w:sz w:val="24"/>
          <w:szCs w:val="24"/>
        </w:rPr>
        <w:t>years</w:t>
      </w:r>
      <w:r w:rsidR="00790647" w:rsidRPr="001E5301">
        <w:rPr>
          <w:sz w:val="24"/>
          <w:szCs w:val="24"/>
        </w:rPr>
        <w:t xml:space="preserve">. </w:t>
      </w:r>
    </w:p>
    <w:p w:rsidR="00AD0761" w:rsidRPr="00AD0761" w:rsidRDefault="00AD0761" w:rsidP="00AD0761">
      <w:pPr>
        <w:pStyle w:val="ListParagraph"/>
        <w:rPr>
          <w:rFonts w:asciiTheme="majorHAnsi" w:hAnsiTheme="majorHAnsi" w:cs="Calibri"/>
          <w:b/>
        </w:rPr>
      </w:pPr>
    </w:p>
    <w:p w:rsidR="006309C1" w:rsidRPr="006309C1" w:rsidRDefault="006309C1" w:rsidP="006309C1">
      <w:pPr>
        <w:pStyle w:val="ListParagraph"/>
        <w:numPr>
          <w:ilvl w:val="0"/>
          <w:numId w:val="3"/>
        </w:numPr>
        <w:jc w:val="both"/>
        <w:rPr>
          <w:rFonts w:asciiTheme="majorHAnsi" w:hAnsiTheme="majorHAnsi" w:cs="Calibri"/>
          <w:b/>
        </w:rPr>
      </w:pPr>
      <w:r>
        <w:rPr>
          <w:sz w:val="24"/>
          <w:szCs w:val="24"/>
        </w:rPr>
        <w:t xml:space="preserve">Apart from such standard revisions, </w:t>
      </w:r>
      <w:r w:rsidR="00D80411">
        <w:rPr>
          <w:sz w:val="24"/>
          <w:szCs w:val="24"/>
        </w:rPr>
        <w:t xml:space="preserve">national accounts did a system audit which involved updating the entire compilation system of national accounts and hence </w:t>
      </w:r>
      <w:r w:rsidR="00247FC9">
        <w:rPr>
          <w:sz w:val="24"/>
          <w:szCs w:val="24"/>
        </w:rPr>
        <w:t xml:space="preserve">minor </w:t>
      </w:r>
      <w:r w:rsidR="00D80411">
        <w:rPr>
          <w:sz w:val="24"/>
          <w:szCs w:val="24"/>
        </w:rPr>
        <w:t>revisions can be seen as far back as 2008.</w:t>
      </w:r>
      <w:r>
        <w:rPr>
          <w:sz w:val="24"/>
          <w:szCs w:val="24"/>
        </w:rPr>
        <w:t xml:space="preserve"> </w:t>
      </w:r>
    </w:p>
    <w:p w:rsidR="006309C1" w:rsidRPr="00D80411" w:rsidRDefault="006309C1" w:rsidP="00D80411">
      <w:pPr>
        <w:pStyle w:val="ListParagraph"/>
        <w:ind w:left="1800"/>
        <w:jc w:val="both"/>
        <w:rPr>
          <w:rFonts w:asciiTheme="majorHAnsi" w:hAnsiTheme="majorHAnsi" w:cs="Calibri"/>
          <w:b/>
        </w:rPr>
      </w:pPr>
    </w:p>
    <w:p w:rsidR="00D80411" w:rsidRPr="00D80411" w:rsidRDefault="00BC2BA0" w:rsidP="006309C1">
      <w:pPr>
        <w:pStyle w:val="ListParagraph"/>
        <w:numPr>
          <w:ilvl w:val="0"/>
          <w:numId w:val="3"/>
        </w:numPr>
        <w:jc w:val="both"/>
        <w:rPr>
          <w:rFonts w:asciiTheme="majorHAnsi" w:hAnsiTheme="majorHAnsi" w:cs="Calibri"/>
          <w:b/>
        </w:rPr>
      </w:pPr>
      <w:r>
        <w:rPr>
          <w:sz w:val="24"/>
          <w:szCs w:val="24"/>
        </w:rPr>
        <w:t xml:space="preserve">Reflecting on economic developments, </w:t>
      </w:r>
      <w:r w:rsidR="00D80411">
        <w:rPr>
          <w:sz w:val="24"/>
          <w:szCs w:val="24"/>
        </w:rPr>
        <w:t>Namibia has embarked on a lot of development</w:t>
      </w:r>
      <w:r>
        <w:rPr>
          <w:sz w:val="24"/>
          <w:szCs w:val="24"/>
        </w:rPr>
        <w:t>al</w:t>
      </w:r>
      <w:r w:rsidR="00D80411">
        <w:rPr>
          <w:sz w:val="24"/>
          <w:szCs w:val="24"/>
        </w:rPr>
        <w:t xml:space="preserve"> projects such as the TIPEEG, Mass housing and the NDP IV projects to mention </w:t>
      </w:r>
      <w:r>
        <w:rPr>
          <w:sz w:val="24"/>
          <w:szCs w:val="24"/>
        </w:rPr>
        <w:t>a few</w:t>
      </w:r>
      <w:r w:rsidR="00D80411">
        <w:rPr>
          <w:sz w:val="24"/>
          <w:szCs w:val="24"/>
        </w:rPr>
        <w:t xml:space="preserve">. These development projects are aimed at accelerating economic growth and thereby creating employment. </w:t>
      </w:r>
    </w:p>
    <w:p w:rsidR="00D80411" w:rsidRPr="00D80411" w:rsidRDefault="00D80411" w:rsidP="00D80411">
      <w:pPr>
        <w:pStyle w:val="ListParagraph"/>
        <w:rPr>
          <w:sz w:val="24"/>
          <w:szCs w:val="24"/>
        </w:rPr>
      </w:pPr>
    </w:p>
    <w:p w:rsidR="002D0AC4" w:rsidRPr="00E023E6" w:rsidRDefault="001E5301" w:rsidP="006309C1">
      <w:pPr>
        <w:pStyle w:val="ListParagraph"/>
        <w:numPr>
          <w:ilvl w:val="0"/>
          <w:numId w:val="3"/>
        </w:numPr>
        <w:jc w:val="both"/>
        <w:rPr>
          <w:rFonts w:asciiTheme="majorHAnsi" w:hAnsiTheme="majorHAnsi" w:cs="Calibri"/>
          <w:b/>
        </w:rPr>
      </w:pPr>
      <w:r>
        <w:rPr>
          <w:sz w:val="24"/>
          <w:szCs w:val="24"/>
        </w:rPr>
        <w:t xml:space="preserve">With reference </w:t>
      </w:r>
      <w:r w:rsidR="00D80411">
        <w:rPr>
          <w:sz w:val="24"/>
          <w:szCs w:val="24"/>
        </w:rPr>
        <w:t xml:space="preserve">to the economic </w:t>
      </w:r>
      <w:r w:rsidR="00A77ABE">
        <w:rPr>
          <w:sz w:val="24"/>
          <w:szCs w:val="24"/>
        </w:rPr>
        <w:t xml:space="preserve">performance </w:t>
      </w:r>
      <w:r w:rsidR="00D80411">
        <w:rPr>
          <w:sz w:val="24"/>
          <w:szCs w:val="24"/>
        </w:rPr>
        <w:t>of 2014, the Namibian economy performed exceptionally well, record</w:t>
      </w:r>
      <w:r w:rsidR="00160063">
        <w:rPr>
          <w:sz w:val="24"/>
          <w:szCs w:val="24"/>
        </w:rPr>
        <w:t>ing</w:t>
      </w:r>
      <w:r w:rsidR="00D80411">
        <w:rPr>
          <w:sz w:val="24"/>
          <w:szCs w:val="24"/>
        </w:rPr>
        <w:t xml:space="preserve"> an </w:t>
      </w:r>
      <w:r w:rsidR="00247FC9">
        <w:rPr>
          <w:sz w:val="24"/>
          <w:szCs w:val="24"/>
        </w:rPr>
        <w:t>exceptional</w:t>
      </w:r>
      <w:r w:rsidR="00160063">
        <w:rPr>
          <w:sz w:val="24"/>
          <w:szCs w:val="24"/>
        </w:rPr>
        <w:t xml:space="preserve"> </w:t>
      </w:r>
      <w:r w:rsidR="00D80411">
        <w:rPr>
          <w:sz w:val="24"/>
          <w:szCs w:val="24"/>
        </w:rPr>
        <w:t xml:space="preserve">growth of </w:t>
      </w:r>
      <w:r w:rsidR="00E023E6">
        <w:rPr>
          <w:sz w:val="24"/>
          <w:szCs w:val="24"/>
        </w:rPr>
        <w:t>6.4</w:t>
      </w:r>
      <w:r w:rsidR="00E023E6" w:rsidRPr="00500D72">
        <w:rPr>
          <w:sz w:val="24"/>
          <w:szCs w:val="24"/>
        </w:rPr>
        <w:t xml:space="preserve"> per cent</w:t>
      </w:r>
      <w:r w:rsidR="00E023E6">
        <w:rPr>
          <w:sz w:val="24"/>
          <w:szCs w:val="24"/>
        </w:rPr>
        <w:t xml:space="preserve"> </w:t>
      </w:r>
      <w:r w:rsidR="00160063">
        <w:rPr>
          <w:sz w:val="24"/>
          <w:szCs w:val="24"/>
        </w:rPr>
        <w:t xml:space="preserve">when </w:t>
      </w:r>
      <w:r w:rsidR="00E023E6" w:rsidRPr="00500D72">
        <w:rPr>
          <w:sz w:val="24"/>
          <w:szCs w:val="24"/>
        </w:rPr>
        <w:t>compared to</w:t>
      </w:r>
      <w:r w:rsidR="00E023E6">
        <w:rPr>
          <w:sz w:val="24"/>
          <w:szCs w:val="24"/>
        </w:rPr>
        <w:t xml:space="preserve"> 5.7</w:t>
      </w:r>
      <w:r w:rsidR="00E023E6" w:rsidRPr="00500D72">
        <w:rPr>
          <w:sz w:val="24"/>
          <w:szCs w:val="24"/>
        </w:rPr>
        <w:t xml:space="preserve"> per cent registered </w:t>
      </w:r>
      <w:r w:rsidR="00E023E6">
        <w:rPr>
          <w:sz w:val="24"/>
          <w:szCs w:val="24"/>
        </w:rPr>
        <w:t xml:space="preserve">in </w:t>
      </w:r>
      <w:r w:rsidR="00E023E6" w:rsidRPr="00500D72">
        <w:rPr>
          <w:sz w:val="24"/>
          <w:szCs w:val="24"/>
        </w:rPr>
        <w:t>201</w:t>
      </w:r>
      <w:r w:rsidR="00E023E6">
        <w:rPr>
          <w:sz w:val="24"/>
          <w:szCs w:val="24"/>
        </w:rPr>
        <w:t>3</w:t>
      </w:r>
      <w:r w:rsidR="00E023E6" w:rsidRPr="00500D72">
        <w:rPr>
          <w:sz w:val="24"/>
          <w:szCs w:val="24"/>
        </w:rPr>
        <w:t>.</w:t>
      </w:r>
    </w:p>
    <w:p w:rsidR="00E023E6" w:rsidRPr="00E023E6" w:rsidRDefault="00E023E6" w:rsidP="006309C1">
      <w:pPr>
        <w:pStyle w:val="ListParagraph"/>
        <w:ind w:left="1800"/>
        <w:jc w:val="both"/>
        <w:rPr>
          <w:rFonts w:asciiTheme="majorHAnsi" w:hAnsiTheme="majorHAnsi" w:cs="Calibri"/>
          <w:b/>
        </w:rPr>
      </w:pPr>
    </w:p>
    <w:p w:rsidR="00E023E6" w:rsidRDefault="00E023E6" w:rsidP="006309C1">
      <w:pPr>
        <w:pStyle w:val="ListParagraph"/>
        <w:numPr>
          <w:ilvl w:val="0"/>
          <w:numId w:val="3"/>
        </w:numPr>
        <w:spacing w:line="240" w:lineRule="auto"/>
        <w:jc w:val="both"/>
        <w:rPr>
          <w:sz w:val="24"/>
          <w:szCs w:val="24"/>
        </w:rPr>
      </w:pPr>
      <w:r>
        <w:rPr>
          <w:sz w:val="24"/>
          <w:szCs w:val="24"/>
        </w:rPr>
        <w:lastRenderedPageBreak/>
        <w:t>The performance in 2014 was led</w:t>
      </w:r>
      <w:r w:rsidRPr="00500D72">
        <w:rPr>
          <w:sz w:val="24"/>
          <w:szCs w:val="24"/>
        </w:rPr>
        <w:t xml:space="preserve"> by the </w:t>
      </w:r>
      <w:r w:rsidR="001E5301">
        <w:rPr>
          <w:sz w:val="24"/>
          <w:szCs w:val="24"/>
        </w:rPr>
        <w:t xml:space="preserve">increase in growth </w:t>
      </w:r>
      <w:r>
        <w:rPr>
          <w:sz w:val="24"/>
          <w:szCs w:val="24"/>
        </w:rPr>
        <w:t xml:space="preserve">in the construction sector with 40.5 per cent, wholesale and retail trade sector that posted a growth of 15.2 per cent and agriculture sector that recorded </w:t>
      </w:r>
      <w:r w:rsidR="00247FC9">
        <w:rPr>
          <w:sz w:val="24"/>
          <w:szCs w:val="24"/>
        </w:rPr>
        <w:t xml:space="preserve">an increase of </w:t>
      </w:r>
      <w:r>
        <w:rPr>
          <w:sz w:val="24"/>
          <w:szCs w:val="24"/>
        </w:rPr>
        <w:t xml:space="preserve">9.6 per cent. </w:t>
      </w:r>
    </w:p>
    <w:p w:rsidR="00160063" w:rsidRPr="00160063" w:rsidRDefault="00160063" w:rsidP="00160063">
      <w:pPr>
        <w:pStyle w:val="ListParagraph"/>
        <w:rPr>
          <w:sz w:val="24"/>
          <w:szCs w:val="24"/>
        </w:rPr>
      </w:pPr>
    </w:p>
    <w:p w:rsidR="00160063" w:rsidRDefault="00160063" w:rsidP="006309C1">
      <w:pPr>
        <w:pStyle w:val="ListParagraph"/>
        <w:numPr>
          <w:ilvl w:val="0"/>
          <w:numId w:val="3"/>
        </w:numPr>
        <w:spacing w:line="240" w:lineRule="auto"/>
        <w:jc w:val="both"/>
        <w:rPr>
          <w:sz w:val="24"/>
          <w:szCs w:val="24"/>
        </w:rPr>
      </w:pPr>
      <w:r>
        <w:rPr>
          <w:sz w:val="24"/>
          <w:szCs w:val="24"/>
        </w:rPr>
        <w:t xml:space="preserve">The robust performance in the construction sector is mainly due to the construction work in the mining sector and construction works for general government that recorded a notable 100.9 per cent and 35.3 per cent, respectively. </w:t>
      </w:r>
    </w:p>
    <w:p w:rsidR="00E023E6" w:rsidRDefault="00E023E6" w:rsidP="006309C1">
      <w:pPr>
        <w:pStyle w:val="ListParagraph"/>
        <w:spacing w:line="240" w:lineRule="auto"/>
        <w:ind w:left="1800"/>
        <w:jc w:val="both"/>
        <w:rPr>
          <w:sz w:val="24"/>
          <w:szCs w:val="24"/>
        </w:rPr>
      </w:pPr>
    </w:p>
    <w:p w:rsidR="00E023E6" w:rsidRDefault="00E023E6" w:rsidP="006309C1">
      <w:pPr>
        <w:pStyle w:val="ListParagraph"/>
        <w:numPr>
          <w:ilvl w:val="0"/>
          <w:numId w:val="3"/>
        </w:numPr>
        <w:spacing w:line="240" w:lineRule="auto"/>
        <w:jc w:val="both"/>
        <w:rPr>
          <w:sz w:val="24"/>
          <w:szCs w:val="24"/>
        </w:rPr>
      </w:pPr>
      <w:r w:rsidRPr="008470A4">
        <w:rPr>
          <w:sz w:val="24"/>
          <w:szCs w:val="24"/>
        </w:rPr>
        <w:t>The growth in</w:t>
      </w:r>
      <w:r>
        <w:rPr>
          <w:sz w:val="24"/>
          <w:szCs w:val="24"/>
        </w:rPr>
        <w:t xml:space="preserve"> agriculture was</w:t>
      </w:r>
      <w:r w:rsidRPr="006A3CEC">
        <w:rPr>
          <w:sz w:val="24"/>
          <w:szCs w:val="24"/>
        </w:rPr>
        <w:t xml:space="preserve"> driven by </w:t>
      </w:r>
      <w:r>
        <w:rPr>
          <w:sz w:val="24"/>
          <w:szCs w:val="24"/>
        </w:rPr>
        <w:t xml:space="preserve">the </w:t>
      </w:r>
      <w:r w:rsidRPr="006A3CEC">
        <w:rPr>
          <w:sz w:val="24"/>
          <w:szCs w:val="24"/>
        </w:rPr>
        <w:t>livestock</w:t>
      </w:r>
      <w:r>
        <w:rPr>
          <w:sz w:val="24"/>
          <w:szCs w:val="24"/>
        </w:rPr>
        <w:t xml:space="preserve"> subsector that increased by </w:t>
      </w:r>
      <w:r w:rsidRPr="006A3CEC">
        <w:rPr>
          <w:sz w:val="24"/>
          <w:szCs w:val="24"/>
        </w:rPr>
        <w:t>13.0 per cent</w:t>
      </w:r>
      <w:r>
        <w:rPr>
          <w:sz w:val="24"/>
          <w:szCs w:val="24"/>
        </w:rPr>
        <w:t xml:space="preserve"> in real value added. The increase is</w:t>
      </w:r>
      <w:r w:rsidRPr="006A3CEC">
        <w:rPr>
          <w:sz w:val="24"/>
          <w:szCs w:val="24"/>
        </w:rPr>
        <w:t xml:space="preserve"> due to restocking </w:t>
      </w:r>
      <w:r w:rsidR="00C26740">
        <w:rPr>
          <w:sz w:val="24"/>
          <w:szCs w:val="24"/>
        </w:rPr>
        <w:t xml:space="preserve">and </w:t>
      </w:r>
      <w:r w:rsidR="00C26740" w:rsidRPr="00F62F77">
        <w:rPr>
          <w:sz w:val="24"/>
          <w:szCs w:val="24"/>
        </w:rPr>
        <w:t xml:space="preserve">re-investment in livestock </w:t>
      </w:r>
      <w:r w:rsidRPr="00F62F77">
        <w:rPr>
          <w:sz w:val="24"/>
          <w:szCs w:val="24"/>
        </w:rPr>
        <w:t>by farmers after the drought in 2013</w:t>
      </w:r>
      <w:r w:rsidR="00C26740" w:rsidRPr="00F62F77">
        <w:rPr>
          <w:sz w:val="24"/>
          <w:szCs w:val="24"/>
        </w:rPr>
        <w:t xml:space="preserve"> and the </w:t>
      </w:r>
      <w:r w:rsidRPr="00F62F77">
        <w:rPr>
          <w:sz w:val="24"/>
          <w:szCs w:val="24"/>
        </w:rPr>
        <w:t>good</w:t>
      </w:r>
      <w:r w:rsidR="00C26740" w:rsidRPr="00F62F77">
        <w:rPr>
          <w:sz w:val="24"/>
          <w:szCs w:val="24"/>
        </w:rPr>
        <w:t xml:space="preserve"> </w:t>
      </w:r>
      <w:r w:rsidRPr="00F62F77">
        <w:rPr>
          <w:sz w:val="24"/>
          <w:szCs w:val="24"/>
        </w:rPr>
        <w:t>rain</w:t>
      </w:r>
      <w:r w:rsidR="00C26740" w:rsidRPr="00F62F77">
        <w:rPr>
          <w:sz w:val="24"/>
          <w:szCs w:val="24"/>
        </w:rPr>
        <w:t>fall</w:t>
      </w:r>
      <w:r w:rsidRPr="00F62F77">
        <w:rPr>
          <w:sz w:val="24"/>
          <w:szCs w:val="24"/>
        </w:rPr>
        <w:t xml:space="preserve"> received during</w:t>
      </w:r>
      <w:r>
        <w:rPr>
          <w:sz w:val="24"/>
          <w:szCs w:val="24"/>
        </w:rPr>
        <w:t xml:space="preserve"> 2014,</w:t>
      </w:r>
      <w:r w:rsidR="00C26740">
        <w:rPr>
          <w:sz w:val="24"/>
          <w:szCs w:val="24"/>
        </w:rPr>
        <w:t xml:space="preserve"> while</w:t>
      </w:r>
      <w:r>
        <w:rPr>
          <w:sz w:val="24"/>
          <w:szCs w:val="24"/>
        </w:rPr>
        <w:t xml:space="preserve"> c</w:t>
      </w:r>
      <w:r w:rsidRPr="006A3CEC">
        <w:rPr>
          <w:sz w:val="24"/>
          <w:szCs w:val="24"/>
        </w:rPr>
        <w:t xml:space="preserve">rop farming </w:t>
      </w:r>
      <w:r>
        <w:rPr>
          <w:sz w:val="24"/>
          <w:szCs w:val="24"/>
        </w:rPr>
        <w:t xml:space="preserve">grew by 5.3 per cent in real value added. </w:t>
      </w:r>
    </w:p>
    <w:p w:rsidR="00C26740" w:rsidRPr="00C26740" w:rsidRDefault="00C26740" w:rsidP="00C26740">
      <w:pPr>
        <w:pStyle w:val="ListParagraph"/>
        <w:rPr>
          <w:sz w:val="24"/>
          <w:szCs w:val="24"/>
        </w:rPr>
      </w:pPr>
      <w:bookmarkStart w:id="0" w:name="_GoBack"/>
      <w:bookmarkEnd w:id="0"/>
    </w:p>
    <w:p w:rsidR="00E023E6" w:rsidRDefault="00E023E6" w:rsidP="006309C1">
      <w:pPr>
        <w:pStyle w:val="ListParagraph"/>
        <w:numPr>
          <w:ilvl w:val="0"/>
          <w:numId w:val="3"/>
        </w:numPr>
        <w:spacing w:line="240" w:lineRule="auto"/>
        <w:jc w:val="both"/>
        <w:rPr>
          <w:sz w:val="24"/>
          <w:szCs w:val="24"/>
        </w:rPr>
      </w:pPr>
      <w:r w:rsidRPr="003B3567">
        <w:rPr>
          <w:sz w:val="24"/>
          <w:szCs w:val="24"/>
        </w:rPr>
        <w:t xml:space="preserve">The </w:t>
      </w:r>
      <w:r w:rsidRPr="00E14816">
        <w:rPr>
          <w:sz w:val="24"/>
          <w:szCs w:val="24"/>
        </w:rPr>
        <w:t>expansion</w:t>
      </w:r>
      <w:r>
        <w:rPr>
          <w:sz w:val="24"/>
          <w:szCs w:val="24"/>
        </w:rPr>
        <w:t xml:space="preserve"> in </w:t>
      </w:r>
      <w:r w:rsidRPr="003B3567">
        <w:rPr>
          <w:sz w:val="24"/>
          <w:szCs w:val="24"/>
        </w:rPr>
        <w:t xml:space="preserve">wholesale and </w:t>
      </w:r>
      <w:r>
        <w:rPr>
          <w:sz w:val="24"/>
          <w:szCs w:val="24"/>
        </w:rPr>
        <w:t xml:space="preserve">retail trade </w:t>
      </w:r>
      <w:r w:rsidRPr="003B3567">
        <w:rPr>
          <w:sz w:val="24"/>
          <w:szCs w:val="24"/>
        </w:rPr>
        <w:t>is attributed to high sales</w:t>
      </w:r>
      <w:r>
        <w:rPr>
          <w:sz w:val="24"/>
          <w:szCs w:val="24"/>
        </w:rPr>
        <w:t xml:space="preserve"> activities</w:t>
      </w:r>
      <w:r w:rsidRPr="003B3567">
        <w:rPr>
          <w:sz w:val="24"/>
          <w:szCs w:val="24"/>
        </w:rPr>
        <w:t xml:space="preserve"> in </w:t>
      </w:r>
      <w:r w:rsidRPr="00F62F77">
        <w:rPr>
          <w:sz w:val="24"/>
          <w:szCs w:val="24"/>
        </w:rPr>
        <w:t>wholesale and vehicle</w:t>
      </w:r>
      <w:r w:rsidR="00A77ABE" w:rsidRPr="00F62F77">
        <w:rPr>
          <w:sz w:val="24"/>
          <w:szCs w:val="24"/>
        </w:rPr>
        <w:t xml:space="preserve"> subsectors</w:t>
      </w:r>
      <w:r w:rsidRPr="00F62F77">
        <w:rPr>
          <w:sz w:val="24"/>
          <w:szCs w:val="24"/>
        </w:rPr>
        <w:t xml:space="preserve"> that increased by 32.6 per cent and 7.0 per cent in respectively</w:t>
      </w:r>
      <w:r>
        <w:rPr>
          <w:sz w:val="24"/>
          <w:szCs w:val="24"/>
        </w:rPr>
        <w:t>, in 2014</w:t>
      </w:r>
      <w:r w:rsidRPr="003B3567">
        <w:rPr>
          <w:sz w:val="24"/>
          <w:szCs w:val="24"/>
        </w:rPr>
        <w:t>.</w:t>
      </w:r>
    </w:p>
    <w:p w:rsidR="00A77ABE" w:rsidRPr="00A77ABE" w:rsidRDefault="00A77ABE" w:rsidP="00A77ABE">
      <w:pPr>
        <w:pStyle w:val="ListParagraph"/>
        <w:rPr>
          <w:sz w:val="24"/>
          <w:szCs w:val="24"/>
        </w:rPr>
      </w:pPr>
    </w:p>
    <w:p w:rsidR="00A77ABE" w:rsidRDefault="00A77ABE" w:rsidP="00A77ABE">
      <w:pPr>
        <w:pStyle w:val="ListParagraph"/>
        <w:numPr>
          <w:ilvl w:val="0"/>
          <w:numId w:val="3"/>
        </w:numPr>
        <w:spacing w:line="240" w:lineRule="auto"/>
        <w:jc w:val="both"/>
        <w:rPr>
          <w:sz w:val="24"/>
          <w:szCs w:val="24"/>
        </w:rPr>
      </w:pPr>
      <w:r>
        <w:rPr>
          <w:sz w:val="24"/>
          <w:szCs w:val="24"/>
        </w:rPr>
        <w:t xml:space="preserve">Moreover, other sectors that performed relatively well were: </w:t>
      </w:r>
      <w:r w:rsidR="008F7317">
        <w:rPr>
          <w:sz w:val="24"/>
          <w:szCs w:val="24"/>
        </w:rPr>
        <w:t>utility</w:t>
      </w:r>
      <w:r>
        <w:rPr>
          <w:sz w:val="24"/>
          <w:szCs w:val="24"/>
        </w:rPr>
        <w:t xml:space="preserve"> (</w:t>
      </w:r>
      <w:r w:rsidR="008F7317">
        <w:rPr>
          <w:sz w:val="24"/>
          <w:szCs w:val="24"/>
        </w:rPr>
        <w:t>4.9</w:t>
      </w:r>
      <w:r>
        <w:rPr>
          <w:sz w:val="24"/>
          <w:szCs w:val="24"/>
        </w:rPr>
        <w:t xml:space="preserve"> per cent), transport and communication (6.6 per cent), hotels and restaurants (5.3 per cent)</w:t>
      </w:r>
      <w:r w:rsidR="009C3D8D">
        <w:rPr>
          <w:sz w:val="24"/>
          <w:szCs w:val="24"/>
        </w:rPr>
        <w:t>.</w:t>
      </w:r>
    </w:p>
    <w:p w:rsidR="00A77ABE" w:rsidRDefault="00A77ABE" w:rsidP="00A77ABE">
      <w:pPr>
        <w:pStyle w:val="ListParagraph"/>
        <w:spacing w:line="240" w:lineRule="auto"/>
        <w:ind w:left="1800"/>
        <w:jc w:val="both"/>
        <w:rPr>
          <w:sz w:val="24"/>
          <w:szCs w:val="24"/>
        </w:rPr>
      </w:pPr>
    </w:p>
    <w:p w:rsidR="00E023E6" w:rsidRPr="008F7317" w:rsidRDefault="00E023E6" w:rsidP="006309C1">
      <w:pPr>
        <w:pStyle w:val="ListParagraph"/>
        <w:numPr>
          <w:ilvl w:val="0"/>
          <w:numId w:val="3"/>
        </w:numPr>
        <w:spacing w:line="240" w:lineRule="auto"/>
        <w:jc w:val="both"/>
        <w:rPr>
          <w:sz w:val="24"/>
          <w:szCs w:val="24"/>
        </w:rPr>
      </w:pPr>
      <w:r w:rsidRPr="008F7317">
        <w:rPr>
          <w:sz w:val="24"/>
          <w:szCs w:val="24"/>
        </w:rPr>
        <w:t xml:space="preserve">The </w:t>
      </w:r>
      <w:r w:rsidR="008F7317" w:rsidRPr="008F7317">
        <w:rPr>
          <w:sz w:val="24"/>
          <w:szCs w:val="24"/>
        </w:rPr>
        <w:t>utility sector</w:t>
      </w:r>
      <w:r w:rsidRPr="008F7317">
        <w:rPr>
          <w:sz w:val="24"/>
          <w:szCs w:val="24"/>
        </w:rPr>
        <w:t xml:space="preserve"> posted a positive </w:t>
      </w:r>
      <w:r w:rsidR="00800905" w:rsidRPr="008F7317">
        <w:rPr>
          <w:sz w:val="24"/>
          <w:szCs w:val="24"/>
        </w:rPr>
        <w:t>growth</w:t>
      </w:r>
      <w:r w:rsidR="008F7317">
        <w:rPr>
          <w:sz w:val="24"/>
          <w:szCs w:val="24"/>
        </w:rPr>
        <w:t xml:space="preserve"> of 4.9 per cent in real value added</w:t>
      </w:r>
      <w:r w:rsidR="00800905" w:rsidRPr="008F7317">
        <w:rPr>
          <w:sz w:val="24"/>
          <w:szCs w:val="24"/>
        </w:rPr>
        <w:t>;</w:t>
      </w:r>
      <w:r w:rsidR="008F7317" w:rsidRPr="008F7317">
        <w:rPr>
          <w:sz w:val="24"/>
          <w:szCs w:val="24"/>
        </w:rPr>
        <w:t xml:space="preserve"> this growth is driven by the electricity subsector that increased by 7.3 per cent due to sales of electricity to the mining sector, which grew by 110.3 per cent.</w:t>
      </w:r>
      <w:r w:rsidR="008F7317">
        <w:rPr>
          <w:sz w:val="24"/>
          <w:szCs w:val="24"/>
        </w:rPr>
        <w:t xml:space="preserve"> Unfortunately, the water subsector contracted by 2.9 </w:t>
      </w:r>
      <w:r w:rsidR="00042ECD">
        <w:rPr>
          <w:sz w:val="24"/>
          <w:szCs w:val="24"/>
        </w:rPr>
        <w:t xml:space="preserve">per cent </w:t>
      </w:r>
      <w:r w:rsidR="008F7317">
        <w:rPr>
          <w:sz w:val="24"/>
          <w:szCs w:val="24"/>
        </w:rPr>
        <w:t xml:space="preserve">during the period under review. </w:t>
      </w:r>
      <w:r w:rsidR="008F7317" w:rsidRPr="008F7317">
        <w:rPr>
          <w:sz w:val="24"/>
          <w:szCs w:val="24"/>
        </w:rPr>
        <w:t xml:space="preserve"> </w:t>
      </w:r>
    </w:p>
    <w:p w:rsidR="00E023E6" w:rsidRPr="00E023E6" w:rsidRDefault="00E023E6" w:rsidP="00A77ABE">
      <w:pPr>
        <w:pStyle w:val="ListParagraph"/>
        <w:ind w:left="1800"/>
        <w:jc w:val="both"/>
        <w:rPr>
          <w:rFonts w:asciiTheme="majorHAnsi" w:hAnsiTheme="majorHAnsi" w:cs="Calibri"/>
          <w:b/>
        </w:rPr>
      </w:pPr>
    </w:p>
    <w:p w:rsidR="00E023E6" w:rsidRPr="00485CB6" w:rsidRDefault="00E023E6" w:rsidP="006309C1">
      <w:pPr>
        <w:pStyle w:val="ListParagraph"/>
        <w:numPr>
          <w:ilvl w:val="0"/>
          <w:numId w:val="3"/>
        </w:numPr>
        <w:spacing w:line="240" w:lineRule="auto"/>
        <w:jc w:val="both"/>
      </w:pPr>
      <w:r w:rsidRPr="00A2511A">
        <w:rPr>
          <w:sz w:val="24"/>
          <w:szCs w:val="24"/>
        </w:rPr>
        <w:t xml:space="preserve">Although the </w:t>
      </w:r>
      <w:r>
        <w:rPr>
          <w:sz w:val="24"/>
          <w:szCs w:val="24"/>
        </w:rPr>
        <w:t xml:space="preserve">total </w:t>
      </w:r>
      <w:r w:rsidRPr="00A2511A">
        <w:rPr>
          <w:sz w:val="24"/>
          <w:szCs w:val="24"/>
        </w:rPr>
        <w:t xml:space="preserve">economy posted a strong growth </w:t>
      </w:r>
      <w:r>
        <w:rPr>
          <w:sz w:val="24"/>
          <w:szCs w:val="24"/>
        </w:rPr>
        <w:t xml:space="preserve">in 2014 </w:t>
      </w:r>
      <w:r w:rsidRPr="00A2511A">
        <w:rPr>
          <w:sz w:val="24"/>
          <w:szCs w:val="24"/>
        </w:rPr>
        <w:t>when compared to the previous year</w:t>
      </w:r>
      <w:r>
        <w:rPr>
          <w:sz w:val="24"/>
          <w:szCs w:val="24"/>
        </w:rPr>
        <w:t xml:space="preserve"> of 2013</w:t>
      </w:r>
      <w:r w:rsidRPr="00A2511A">
        <w:rPr>
          <w:sz w:val="24"/>
          <w:szCs w:val="24"/>
        </w:rPr>
        <w:t xml:space="preserve"> some sectors </w:t>
      </w:r>
      <w:r>
        <w:rPr>
          <w:sz w:val="24"/>
          <w:szCs w:val="24"/>
        </w:rPr>
        <w:t xml:space="preserve">like mining, fishing and fish processing on board and manufacturing </w:t>
      </w:r>
      <w:r w:rsidR="00800905">
        <w:rPr>
          <w:sz w:val="24"/>
          <w:szCs w:val="24"/>
        </w:rPr>
        <w:t xml:space="preserve">performed poorly, </w:t>
      </w:r>
      <w:r w:rsidR="001E5301">
        <w:rPr>
          <w:sz w:val="24"/>
          <w:szCs w:val="24"/>
        </w:rPr>
        <w:t xml:space="preserve">showing a contraction of </w:t>
      </w:r>
      <w:r>
        <w:rPr>
          <w:sz w:val="24"/>
          <w:szCs w:val="24"/>
        </w:rPr>
        <w:t xml:space="preserve">6.3 per cent, 2.5 per cent and 2.2 per cent respectively. </w:t>
      </w:r>
    </w:p>
    <w:p w:rsidR="00E023E6" w:rsidRPr="00991637" w:rsidRDefault="00E023E6" w:rsidP="006309C1">
      <w:pPr>
        <w:pStyle w:val="ListParagraph"/>
        <w:spacing w:line="240" w:lineRule="auto"/>
        <w:ind w:left="360"/>
        <w:jc w:val="both"/>
      </w:pPr>
    </w:p>
    <w:p w:rsidR="00E023E6" w:rsidRDefault="00E023E6" w:rsidP="006309C1">
      <w:pPr>
        <w:pStyle w:val="ListParagraph"/>
        <w:numPr>
          <w:ilvl w:val="0"/>
          <w:numId w:val="3"/>
        </w:numPr>
        <w:spacing w:line="240" w:lineRule="auto"/>
        <w:jc w:val="both"/>
        <w:rPr>
          <w:sz w:val="24"/>
          <w:szCs w:val="24"/>
        </w:rPr>
      </w:pPr>
      <w:r w:rsidRPr="00991637">
        <w:rPr>
          <w:sz w:val="24"/>
          <w:szCs w:val="24"/>
        </w:rPr>
        <w:t>The mining secto</w:t>
      </w:r>
      <w:r>
        <w:rPr>
          <w:sz w:val="24"/>
          <w:szCs w:val="24"/>
        </w:rPr>
        <w:t>r’s</w:t>
      </w:r>
      <w:r w:rsidRPr="00991637">
        <w:rPr>
          <w:sz w:val="24"/>
          <w:szCs w:val="24"/>
        </w:rPr>
        <w:t xml:space="preserve"> poor performance was influenced by</w:t>
      </w:r>
      <w:r>
        <w:rPr>
          <w:sz w:val="24"/>
          <w:szCs w:val="24"/>
        </w:rPr>
        <w:t xml:space="preserve"> low production activities in uranium which declined by 9.9 per cent and other mining and quarrying with a negative growth of 39.7 per cent.</w:t>
      </w:r>
      <w:r w:rsidRPr="00991637">
        <w:rPr>
          <w:sz w:val="24"/>
          <w:szCs w:val="24"/>
        </w:rPr>
        <w:t xml:space="preserve"> </w:t>
      </w:r>
      <w:r>
        <w:rPr>
          <w:sz w:val="24"/>
          <w:szCs w:val="24"/>
        </w:rPr>
        <w:t>The drop in production of uranium was due to lower demand of the commodity by the international markets.</w:t>
      </w:r>
    </w:p>
    <w:p w:rsidR="00800905" w:rsidRPr="00800905" w:rsidRDefault="00800905" w:rsidP="00800905">
      <w:pPr>
        <w:pStyle w:val="ListParagraph"/>
        <w:rPr>
          <w:sz w:val="24"/>
          <w:szCs w:val="24"/>
        </w:rPr>
      </w:pPr>
    </w:p>
    <w:p w:rsidR="00800905" w:rsidRPr="008552BC" w:rsidRDefault="00800905" w:rsidP="006309C1">
      <w:pPr>
        <w:pStyle w:val="ListParagraph"/>
        <w:numPr>
          <w:ilvl w:val="0"/>
          <w:numId w:val="3"/>
        </w:numPr>
        <w:spacing w:line="240" w:lineRule="auto"/>
        <w:jc w:val="both"/>
        <w:rPr>
          <w:sz w:val="24"/>
          <w:szCs w:val="24"/>
        </w:rPr>
      </w:pPr>
      <w:r>
        <w:rPr>
          <w:sz w:val="24"/>
          <w:szCs w:val="24"/>
        </w:rPr>
        <w:t xml:space="preserve">In conclusion, NSA would like to thank our data source providers and to encourage others data sources to responds to our annual economic surveys which can greatly enhance the accuracy of measurement of the GDP growth of the country. </w:t>
      </w:r>
    </w:p>
    <w:p w:rsidR="00E023E6" w:rsidRPr="00E023E6" w:rsidRDefault="00E023E6" w:rsidP="00800905">
      <w:pPr>
        <w:pStyle w:val="ListParagraph"/>
        <w:ind w:left="1800"/>
        <w:jc w:val="both"/>
        <w:rPr>
          <w:rFonts w:asciiTheme="majorHAnsi" w:hAnsiTheme="majorHAnsi" w:cs="Calibri"/>
          <w:b/>
        </w:rPr>
      </w:pPr>
    </w:p>
    <w:p w:rsidR="002D0AC4" w:rsidRDefault="002D0AC4" w:rsidP="006309C1">
      <w:pPr>
        <w:jc w:val="both"/>
        <w:rPr>
          <w:rFonts w:asciiTheme="majorHAnsi" w:hAnsiTheme="majorHAnsi" w:cs="Calibri"/>
        </w:rPr>
      </w:pPr>
    </w:p>
    <w:p w:rsidR="00FB2687" w:rsidRDefault="00FB2687" w:rsidP="006309C1">
      <w:pPr>
        <w:jc w:val="both"/>
      </w:pPr>
    </w:p>
    <w:sectPr w:rsidR="00FB2687" w:rsidSect="00BC635E">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2C" w:rsidRDefault="002F322C" w:rsidP="00FB2687">
      <w:r>
        <w:separator/>
      </w:r>
    </w:p>
  </w:endnote>
  <w:endnote w:type="continuationSeparator" w:id="0">
    <w:p w:rsidR="002F322C" w:rsidRDefault="002F322C" w:rsidP="00FB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28471"/>
      <w:docPartObj>
        <w:docPartGallery w:val="Page Numbers (Bottom of Page)"/>
        <w:docPartUnique/>
      </w:docPartObj>
    </w:sdtPr>
    <w:sdtEndPr>
      <w:rPr>
        <w:color w:val="808080" w:themeColor="background1" w:themeShade="80"/>
        <w:spacing w:val="60"/>
      </w:rPr>
    </w:sdtEndPr>
    <w:sdtContent>
      <w:p w:rsidR="000648B2" w:rsidRDefault="00064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2F77">
          <w:rPr>
            <w:noProof/>
          </w:rPr>
          <w:t>3</w:t>
        </w:r>
        <w:r>
          <w:rPr>
            <w:noProof/>
          </w:rPr>
          <w:fldChar w:fldCharType="end"/>
        </w:r>
        <w:r>
          <w:t xml:space="preserve"> | </w:t>
        </w:r>
        <w:r>
          <w:rPr>
            <w:color w:val="808080" w:themeColor="background1" w:themeShade="80"/>
            <w:spacing w:val="60"/>
          </w:rPr>
          <w:t>Page</w:t>
        </w:r>
      </w:p>
    </w:sdtContent>
  </w:sdt>
  <w:p w:rsidR="000648B2" w:rsidRDefault="00064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2C" w:rsidRDefault="002F322C" w:rsidP="00FB2687">
      <w:r>
        <w:separator/>
      </w:r>
    </w:p>
  </w:footnote>
  <w:footnote w:type="continuationSeparator" w:id="0">
    <w:p w:rsidR="002F322C" w:rsidRDefault="002F322C" w:rsidP="00FB2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59E"/>
    <w:multiLevelType w:val="hybridMultilevel"/>
    <w:tmpl w:val="F43C2F2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1A91727"/>
    <w:multiLevelType w:val="hybridMultilevel"/>
    <w:tmpl w:val="E5FC7B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48377DA"/>
    <w:multiLevelType w:val="hybridMultilevel"/>
    <w:tmpl w:val="CCAC8A3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69E234E"/>
    <w:multiLevelType w:val="hybridMultilevel"/>
    <w:tmpl w:val="F9829702"/>
    <w:lvl w:ilvl="0" w:tplc="85209A2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853331"/>
    <w:multiLevelType w:val="hybridMultilevel"/>
    <w:tmpl w:val="BBF6704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7"/>
    <w:rsid w:val="00042ECD"/>
    <w:rsid w:val="000648B2"/>
    <w:rsid w:val="000B3EC6"/>
    <w:rsid w:val="00160063"/>
    <w:rsid w:val="001E1CAE"/>
    <w:rsid w:val="001E5301"/>
    <w:rsid w:val="00247FC9"/>
    <w:rsid w:val="002D0AC4"/>
    <w:rsid w:val="002F322C"/>
    <w:rsid w:val="003E1120"/>
    <w:rsid w:val="005A7383"/>
    <w:rsid w:val="005F0DD2"/>
    <w:rsid w:val="006309C1"/>
    <w:rsid w:val="006723CE"/>
    <w:rsid w:val="0076130A"/>
    <w:rsid w:val="00790647"/>
    <w:rsid w:val="007A0F91"/>
    <w:rsid w:val="00800905"/>
    <w:rsid w:val="008C4559"/>
    <w:rsid w:val="008F7317"/>
    <w:rsid w:val="00945BEF"/>
    <w:rsid w:val="009C3D8D"/>
    <w:rsid w:val="009D3325"/>
    <w:rsid w:val="00A73AAB"/>
    <w:rsid w:val="00A77ABE"/>
    <w:rsid w:val="00AD0761"/>
    <w:rsid w:val="00AF3696"/>
    <w:rsid w:val="00BC2BA0"/>
    <w:rsid w:val="00BC635E"/>
    <w:rsid w:val="00C26740"/>
    <w:rsid w:val="00D6309F"/>
    <w:rsid w:val="00D80411"/>
    <w:rsid w:val="00E023E6"/>
    <w:rsid w:val="00F03506"/>
    <w:rsid w:val="00F52CF5"/>
    <w:rsid w:val="00F62F77"/>
    <w:rsid w:val="00FB2687"/>
    <w:rsid w:val="00FE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6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687"/>
    <w:rPr>
      <w:rFonts w:ascii="Lucida Grande" w:hAnsi="Lucida Grande" w:cs="Lucida Grande"/>
      <w:sz w:val="18"/>
      <w:szCs w:val="18"/>
    </w:rPr>
  </w:style>
  <w:style w:type="paragraph" w:styleId="Header">
    <w:name w:val="header"/>
    <w:basedOn w:val="Normal"/>
    <w:link w:val="HeaderChar"/>
    <w:uiPriority w:val="99"/>
    <w:unhideWhenUsed/>
    <w:rsid w:val="00FB2687"/>
    <w:pPr>
      <w:tabs>
        <w:tab w:val="center" w:pos="4320"/>
        <w:tab w:val="right" w:pos="8640"/>
      </w:tabs>
    </w:pPr>
  </w:style>
  <w:style w:type="character" w:customStyle="1" w:styleId="HeaderChar">
    <w:name w:val="Header Char"/>
    <w:basedOn w:val="DefaultParagraphFont"/>
    <w:link w:val="Header"/>
    <w:uiPriority w:val="99"/>
    <w:rsid w:val="00FB2687"/>
  </w:style>
  <w:style w:type="paragraph" w:styleId="Footer">
    <w:name w:val="footer"/>
    <w:basedOn w:val="Normal"/>
    <w:link w:val="FooterChar"/>
    <w:uiPriority w:val="99"/>
    <w:unhideWhenUsed/>
    <w:rsid w:val="00FB2687"/>
    <w:pPr>
      <w:tabs>
        <w:tab w:val="center" w:pos="4320"/>
        <w:tab w:val="right" w:pos="8640"/>
      </w:tabs>
    </w:pPr>
  </w:style>
  <w:style w:type="character" w:customStyle="1" w:styleId="FooterChar">
    <w:name w:val="Footer Char"/>
    <w:basedOn w:val="DefaultParagraphFont"/>
    <w:link w:val="Footer"/>
    <w:uiPriority w:val="99"/>
    <w:rsid w:val="00FB2687"/>
  </w:style>
  <w:style w:type="paragraph" w:styleId="ListParagraph">
    <w:name w:val="List Paragraph"/>
    <w:basedOn w:val="Normal"/>
    <w:uiPriority w:val="34"/>
    <w:qFormat/>
    <w:rsid w:val="000648B2"/>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0648B2"/>
    <w:pPr>
      <w:jc w:val="both"/>
    </w:pPr>
    <w:rPr>
      <w:rFonts w:ascii="Calibri" w:eastAsia="Calibri" w:hAnsi="Calibri" w:cs="Times New Roman"/>
      <w:sz w:val="22"/>
      <w:szCs w:val="22"/>
    </w:rPr>
  </w:style>
  <w:style w:type="paragraph" w:styleId="Revision">
    <w:name w:val="Revision"/>
    <w:hidden/>
    <w:uiPriority w:val="99"/>
    <w:semiHidden/>
    <w:rsid w:val="00FE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6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687"/>
    <w:rPr>
      <w:rFonts w:ascii="Lucida Grande" w:hAnsi="Lucida Grande" w:cs="Lucida Grande"/>
      <w:sz w:val="18"/>
      <w:szCs w:val="18"/>
    </w:rPr>
  </w:style>
  <w:style w:type="paragraph" w:styleId="Header">
    <w:name w:val="header"/>
    <w:basedOn w:val="Normal"/>
    <w:link w:val="HeaderChar"/>
    <w:uiPriority w:val="99"/>
    <w:unhideWhenUsed/>
    <w:rsid w:val="00FB2687"/>
    <w:pPr>
      <w:tabs>
        <w:tab w:val="center" w:pos="4320"/>
        <w:tab w:val="right" w:pos="8640"/>
      </w:tabs>
    </w:pPr>
  </w:style>
  <w:style w:type="character" w:customStyle="1" w:styleId="HeaderChar">
    <w:name w:val="Header Char"/>
    <w:basedOn w:val="DefaultParagraphFont"/>
    <w:link w:val="Header"/>
    <w:uiPriority w:val="99"/>
    <w:rsid w:val="00FB2687"/>
  </w:style>
  <w:style w:type="paragraph" w:styleId="Footer">
    <w:name w:val="footer"/>
    <w:basedOn w:val="Normal"/>
    <w:link w:val="FooterChar"/>
    <w:uiPriority w:val="99"/>
    <w:unhideWhenUsed/>
    <w:rsid w:val="00FB2687"/>
    <w:pPr>
      <w:tabs>
        <w:tab w:val="center" w:pos="4320"/>
        <w:tab w:val="right" w:pos="8640"/>
      </w:tabs>
    </w:pPr>
  </w:style>
  <w:style w:type="character" w:customStyle="1" w:styleId="FooterChar">
    <w:name w:val="Footer Char"/>
    <w:basedOn w:val="DefaultParagraphFont"/>
    <w:link w:val="Footer"/>
    <w:uiPriority w:val="99"/>
    <w:rsid w:val="00FB2687"/>
  </w:style>
  <w:style w:type="paragraph" w:styleId="ListParagraph">
    <w:name w:val="List Paragraph"/>
    <w:basedOn w:val="Normal"/>
    <w:uiPriority w:val="34"/>
    <w:qFormat/>
    <w:rsid w:val="000648B2"/>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0648B2"/>
    <w:pPr>
      <w:jc w:val="both"/>
    </w:pPr>
    <w:rPr>
      <w:rFonts w:ascii="Calibri" w:eastAsia="Calibri" w:hAnsi="Calibri" w:cs="Times New Roman"/>
      <w:sz w:val="22"/>
      <w:szCs w:val="22"/>
    </w:rPr>
  </w:style>
  <w:style w:type="paragraph" w:styleId="Revision">
    <w:name w:val="Revision"/>
    <w:hidden/>
    <w:uiPriority w:val="99"/>
    <w:semiHidden/>
    <w:rsid w:val="00FE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Chinonto Chakanga</dc:creator>
  <cp:lastModifiedBy>Titus kamatuka</cp:lastModifiedBy>
  <cp:revision>4</cp:revision>
  <cp:lastPrinted>2015-09-04T08:23:00Z</cp:lastPrinted>
  <dcterms:created xsi:type="dcterms:W3CDTF">2015-09-08T14:30:00Z</dcterms:created>
  <dcterms:modified xsi:type="dcterms:W3CDTF">2015-09-09T08:32:00Z</dcterms:modified>
</cp:coreProperties>
</file>